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01B56" w14:textId="77777777" w:rsidR="00F5298F" w:rsidRDefault="00F5298F" w:rsidP="00F5298F">
      <w:pPr>
        <w:rPr>
          <w:rFonts w:cstheme="minorHAnsi"/>
          <w:b/>
          <w:bCs/>
          <w:sz w:val="20"/>
          <w:szCs w:val="20"/>
        </w:rPr>
      </w:pPr>
      <w:r>
        <w:rPr>
          <w:rFonts w:cstheme="minorHAnsi"/>
          <w:b/>
          <w:bCs/>
          <w:sz w:val="20"/>
          <w:szCs w:val="20"/>
        </w:rPr>
        <w:t>HIPAA/HITRUST Compliance Statement</w:t>
      </w:r>
    </w:p>
    <w:p w14:paraId="0DC5A27D" w14:textId="77777777" w:rsidR="00F5298F" w:rsidRDefault="00F5298F" w:rsidP="00F5298F">
      <w:pPr>
        <w:shd w:val="clear" w:color="auto" w:fill="FFFFFF"/>
        <w:rPr>
          <w:rFonts w:eastAsia="Times New Roman" w:cstheme="minorHAnsi"/>
          <w:color w:val="222222"/>
          <w:sz w:val="20"/>
          <w:szCs w:val="20"/>
        </w:rPr>
      </w:pPr>
      <w:proofErr w:type="spellStart"/>
      <w:r>
        <w:rPr>
          <w:rFonts w:eastAsia="Times New Roman" w:cstheme="minorHAnsi"/>
          <w:color w:val="222222"/>
          <w:sz w:val="20"/>
          <w:szCs w:val="20"/>
        </w:rPr>
        <w:t>Cadwell</w:t>
      </w:r>
      <w:proofErr w:type="spellEnd"/>
      <w:r>
        <w:rPr>
          <w:rFonts w:eastAsia="Times New Roman" w:cstheme="minorHAnsi"/>
          <w:color w:val="222222"/>
          <w:sz w:val="20"/>
          <w:szCs w:val="20"/>
        </w:rPr>
        <w:t xml:space="preserve"> equipment and software are capable of being used in compliance with HIPAA and HITECH regulations and principles (“HIPAA”) so that protected health information (“PHI”) can be collected, utilized and safeguarded in a HIPAA-compliant manner.  </w:t>
      </w:r>
      <w:proofErr w:type="spellStart"/>
      <w:r>
        <w:rPr>
          <w:rFonts w:eastAsia="Times New Roman" w:cstheme="minorHAnsi"/>
          <w:color w:val="222222"/>
          <w:sz w:val="20"/>
          <w:szCs w:val="20"/>
        </w:rPr>
        <w:t>Cadwell’s</w:t>
      </w:r>
      <w:proofErr w:type="spellEnd"/>
      <w:r>
        <w:rPr>
          <w:rFonts w:eastAsia="Times New Roman" w:cstheme="minorHAnsi"/>
          <w:color w:val="222222"/>
          <w:sz w:val="20"/>
          <w:szCs w:val="20"/>
        </w:rPr>
        <w:t xml:space="preserve"> software architecture includes log-in authentication for user access, various </w:t>
      </w:r>
      <w:r>
        <w:rPr>
          <w:rFonts w:eastAsia="Times New Roman" w:cstheme="minorHAnsi"/>
          <w:color w:val="000000"/>
          <w:sz w:val="20"/>
          <w:szCs w:val="20"/>
        </w:rPr>
        <w:t xml:space="preserve">database audit logging, data integrity systems and verified backups, entity authentication programs, digital certificates and data encryption, which support HIPAA-compliant use. </w:t>
      </w:r>
      <w:r>
        <w:rPr>
          <w:rFonts w:eastAsia="Times New Roman" w:cstheme="minorHAnsi"/>
          <w:color w:val="222222"/>
          <w:sz w:val="20"/>
          <w:szCs w:val="20"/>
        </w:rPr>
        <w:t xml:space="preserve">  </w:t>
      </w:r>
    </w:p>
    <w:p w14:paraId="71F74CC8" w14:textId="77777777" w:rsidR="00F5298F" w:rsidRDefault="00F5298F" w:rsidP="00F5298F">
      <w:pPr>
        <w:shd w:val="clear" w:color="auto" w:fill="FFFFFF"/>
        <w:rPr>
          <w:rFonts w:eastAsia="Times New Roman" w:cstheme="minorHAnsi"/>
          <w:color w:val="222222"/>
          <w:sz w:val="20"/>
          <w:szCs w:val="20"/>
        </w:rPr>
      </w:pPr>
    </w:p>
    <w:p w14:paraId="3749776A" w14:textId="77777777" w:rsidR="00F5298F" w:rsidRDefault="00F5298F" w:rsidP="00F5298F">
      <w:pPr>
        <w:shd w:val="clear" w:color="auto" w:fill="FFFFFF"/>
        <w:rPr>
          <w:rFonts w:eastAsia="Times New Roman" w:cstheme="minorHAnsi"/>
          <w:color w:val="222222"/>
          <w:sz w:val="20"/>
          <w:szCs w:val="20"/>
        </w:rPr>
      </w:pPr>
      <w:r>
        <w:rPr>
          <w:rFonts w:eastAsia="Times New Roman" w:cstheme="minorHAnsi"/>
          <w:color w:val="222222"/>
          <w:sz w:val="20"/>
          <w:szCs w:val="20"/>
        </w:rPr>
        <w:t xml:space="preserve">Clinicians use </w:t>
      </w:r>
      <w:proofErr w:type="spellStart"/>
      <w:r>
        <w:rPr>
          <w:rFonts w:eastAsia="Times New Roman" w:cstheme="minorHAnsi"/>
          <w:color w:val="222222"/>
          <w:sz w:val="20"/>
          <w:szCs w:val="20"/>
        </w:rPr>
        <w:t>Cadwell</w:t>
      </w:r>
      <w:proofErr w:type="spellEnd"/>
      <w:r>
        <w:rPr>
          <w:rFonts w:eastAsia="Times New Roman" w:cstheme="minorHAnsi"/>
          <w:color w:val="222222"/>
          <w:sz w:val="20"/>
          <w:szCs w:val="20"/>
        </w:rPr>
        <w:t xml:space="preserve"> equipment to collect PHI, however </w:t>
      </w:r>
      <w:proofErr w:type="spellStart"/>
      <w:r>
        <w:rPr>
          <w:rFonts w:eastAsia="Times New Roman" w:cstheme="minorHAnsi"/>
          <w:color w:val="222222"/>
          <w:sz w:val="20"/>
          <w:szCs w:val="20"/>
        </w:rPr>
        <w:t>Cadwell</w:t>
      </w:r>
      <w:proofErr w:type="spellEnd"/>
      <w:r>
        <w:rPr>
          <w:rFonts w:eastAsia="Times New Roman" w:cstheme="minorHAnsi"/>
          <w:color w:val="222222"/>
          <w:sz w:val="20"/>
          <w:szCs w:val="20"/>
        </w:rPr>
        <w:t xml:space="preserve"> does not host, store or retain PHI on behalf of clinicians on-site.  All collected PHI remains under the control of the equipment/software user and the network host for the network into which the equipment is integrated.  In the event equipment containing PHI is sent back to </w:t>
      </w:r>
      <w:proofErr w:type="spellStart"/>
      <w:r>
        <w:rPr>
          <w:rFonts w:eastAsia="Times New Roman" w:cstheme="minorHAnsi"/>
          <w:color w:val="222222"/>
          <w:sz w:val="20"/>
          <w:szCs w:val="20"/>
        </w:rPr>
        <w:t>Cadwell</w:t>
      </w:r>
      <w:proofErr w:type="spellEnd"/>
      <w:r>
        <w:rPr>
          <w:rFonts w:eastAsia="Times New Roman" w:cstheme="minorHAnsi"/>
          <w:color w:val="222222"/>
          <w:sz w:val="20"/>
          <w:szCs w:val="20"/>
        </w:rPr>
        <w:t xml:space="preserve"> for service, </w:t>
      </w:r>
      <w:proofErr w:type="spellStart"/>
      <w:r>
        <w:rPr>
          <w:rFonts w:eastAsia="Times New Roman" w:cstheme="minorHAnsi"/>
          <w:color w:val="222222"/>
          <w:sz w:val="20"/>
          <w:szCs w:val="20"/>
        </w:rPr>
        <w:t>Cadwell</w:t>
      </w:r>
      <w:proofErr w:type="spellEnd"/>
      <w:r>
        <w:rPr>
          <w:rFonts w:eastAsia="Times New Roman" w:cstheme="minorHAnsi"/>
          <w:color w:val="222222"/>
          <w:sz w:val="20"/>
          <w:szCs w:val="20"/>
        </w:rPr>
        <w:t xml:space="preserve"> follows annually-reviewed and audited HIPAA-compliant procedures (“Internal Procedures”) to safeguard PHI and prevent all unauthorized disclosures while in </w:t>
      </w:r>
      <w:proofErr w:type="spellStart"/>
      <w:r>
        <w:rPr>
          <w:rFonts w:eastAsia="Times New Roman" w:cstheme="minorHAnsi"/>
          <w:color w:val="222222"/>
          <w:sz w:val="20"/>
          <w:szCs w:val="20"/>
        </w:rPr>
        <w:t>Cadwell’s</w:t>
      </w:r>
      <w:proofErr w:type="spellEnd"/>
      <w:r>
        <w:rPr>
          <w:rFonts w:eastAsia="Times New Roman" w:cstheme="minorHAnsi"/>
          <w:color w:val="222222"/>
          <w:sz w:val="20"/>
          <w:szCs w:val="20"/>
        </w:rPr>
        <w:t xml:space="preserve"> care.  All employees are trained annually on the HIPAA Internal Procedures.  </w:t>
      </w:r>
    </w:p>
    <w:p w14:paraId="1876E092" w14:textId="77777777" w:rsidR="00F5298F" w:rsidRDefault="00F5298F" w:rsidP="00F5298F"/>
    <w:p w14:paraId="01DFE023" w14:textId="04A6598A" w:rsidR="00025A31" w:rsidRDefault="00025A31" w:rsidP="00025A31">
      <w:pPr>
        <w:jc w:val="center"/>
        <w:rPr>
          <w:sz w:val="40"/>
          <w:szCs w:val="40"/>
        </w:rPr>
      </w:pPr>
    </w:p>
    <w:p w14:paraId="7CC5A6CC" w14:textId="77777777" w:rsidR="00025A31" w:rsidRPr="00025A31" w:rsidRDefault="00025A31" w:rsidP="00025A31">
      <w:pPr>
        <w:jc w:val="center"/>
        <w:rPr>
          <w:sz w:val="40"/>
          <w:szCs w:val="40"/>
        </w:rPr>
      </w:pPr>
    </w:p>
    <w:p w14:paraId="238C094D" w14:textId="77777777" w:rsidR="00163E29" w:rsidRPr="00760B7D" w:rsidRDefault="00163E29" w:rsidP="00760B7D">
      <w:bookmarkStart w:id="0" w:name="_GoBack"/>
      <w:bookmarkEnd w:id="0"/>
    </w:p>
    <w:sectPr w:rsidR="00163E29" w:rsidRPr="00760B7D" w:rsidSect="001E7B1C">
      <w:headerReference w:type="default" r:id="rId8"/>
      <w:footerReference w:type="default" r:id="rId9"/>
      <w:pgSz w:w="12240" w:h="15840"/>
      <w:pgMar w:top="2250" w:right="1200" w:bottom="280" w:left="1220" w:header="36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EF6E1" w14:textId="77777777" w:rsidR="00E8082F" w:rsidRDefault="00E8082F">
      <w:r>
        <w:separator/>
      </w:r>
    </w:p>
  </w:endnote>
  <w:endnote w:type="continuationSeparator" w:id="0">
    <w:p w14:paraId="32DC2C90" w14:textId="77777777" w:rsidR="00E8082F" w:rsidRDefault="00E8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E69D3" w14:textId="77777777" w:rsidR="00116EEE" w:rsidRPr="00F10AFC" w:rsidRDefault="00116EEE" w:rsidP="00824512">
    <w:pPr>
      <w:pStyle w:val="BodyText"/>
      <w:ind w:left="-1220" w:firstLine="0"/>
      <w:jc w:val="right"/>
    </w:pPr>
    <w:r>
      <w:rPr>
        <w:rStyle w:val="PageNumber"/>
        <w:noProof/>
        <w:sz w:val="20"/>
        <w:szCs w:val="20"/>
      </w:rPr>
      <w:drawing>
        <wp:inline distT="0" distB="0" distL="0" distR="0" wp14:anchorId="2CC6AFFF" wp14:editId="5D5A99E2">
          <wp:extent cx="7767705" cy="739782"/>
          <wp:effectExtent l="0" t="0" r="5080" b="3175"/>
          <wp:docPr id="10" name="Picture 10" descr="Foo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8582" cy="75891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2229C" w14:textId="77777777" w:rsidR="00E8082F" w:rsidRDefault="00E8082F">
      <w:r>
        <w:separator/>
      </w:r>
    </w:p>
  </w:footnote>
  <w:footnote w:type="continuationSeparator" w:id="0">
    <w:p w14:paraId="18580DC4" w14:textId="77777777" w:rsidR="00E8082F" w:rsidRDefault="00E80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09E2" w14:textId="77777777" w:rsidR="000140F1" w:rsidRPr="00116EEE" w:rsidRDefault="00760B7D" w:rsidP="00116EEE">
    <w:pPr>
      <w:pStyle w:val="Header"/>
      <w:ind w:left="-1220" w:right="-1160"/>
    </w:pPr>
    <w:r>
      <w:rPr>
        <w:noProof/>
      </w:rPr>
      <w:drawing>
        <wp:inline distT="0" distB="0" distL="0" distR="0" wp14:anchorId="0D791920" wp14:editId="79C59A8B">
          <wp:extent cx="7767320" cy="9155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74114" cy="928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97E"/>
    <w:multiLevelType w:val="hybridMultilevel"/>
    <w:tmpl w:val="F29E4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F4CCA"/>
    <w:multiLevelType w:val="hybridMultilevel"/>
    <w:tmpl w:val="50FA1E62"/>
    <w:lvl w:ilvl="0" w:tplc="D6D687EE">
      <w:start w:val="1"/>
      <w:numFmt w:val="decimal"/>
      <w:lvlText w:val="%1."/>
      <w:lvlJc w:val="left"/>
      <w:pPr>
        <w:ind w:hanging="720"/>
      </w:pPr>
      <w:rPr>
        <w:rFonts w:ascii="Verdana" w:eastAsia="Verdana" w:hAnsi="Verdana" w:hint="default"/>
        <w:b/>
        <w:bCs/>
        <w:spacing w:val="-1"/>
        <w:sz w:val="24"/>
        <w:szCs w:val="24"/>
      </w:rPr>
    </w:lvl>
    <w:lvl w:ilvl="1" w:tplc="567065E0">
      <w:start w:val="1"/>
      <w:numFmt w:val="lowerLetter"/>
      <w:lvlText w:val="%2."/>
      <w:lvlJc w:val="left"/>
      <w:pPr>
        <w:ind w:hanging="360"/>
      </w:pPr>
      <w:rPr>
        <w:rFonts w:ascii="Verdana" w:eastAsia="Verdana" w:hAnsi="Verdana" w:hint="default"/>
        <w:spacing w:val="-1"/>
        <w:w w:val="99"/>
        <w:sz w:val="24"/>
        <w:szCs w:val="24"/>
      </w:rPr>
    </w:lvl>
    <w:lvl w:ilvl="2" w:tplc="CAC21440">
      <w:start w:val="1"/>
      <w:numFmt w:val="bullet"/>
      <w:lvlText w:val="•"/>
      <w:lvlJc w:val="left"/>
      <w:rPr>
        <w:rFonts w:hint="default"/>
      </w:rPr>
    </w:lvl>
    <w:lvl w:ilvl="3" w:tplc="4EF4594C">
      <w:start w:val="1"/>
      <w:numFmt w:val="bullet"/>
      <w:lvlText w:val="•"/>
      <w:lvlJc w:val="left"/>
      <w:rPr>
        <w:rFonts w:hint="default"/>
      </w:rPr>
    </w:lvl>
    <w:lvl w:ilvl="4" w:tplc="50B8F348">
      <w:start w:val="1"/>
      <w:numFmt w:val="bullet"/>
      <w:lvlText w:val="•"/>
      <w:lvlJc w:val="left"/>
      <w:rPr>
        <w:rFonts w:hint="default"/>
      </w:rPr>
    </w:lvl>
    <w:lvl w:ilvl="5" w:tplc="C688E8D0">
      <w:start w:val="1"/>
      <w:numFmt w:val="bullet"/>
      <w:lvlText w:val="•"/>
      <w:lvlJc w:val="left"/>
      <w:rPr>
        <w:rFonts w:hint="default"/>
      </w:rPr>
    </w:lvl>
    <w:lvl w:ilvl="6" w:tplc="04EA02BC">
      <w:start w:val="1"/>
      <w:numFmt w:val="bullet"/>
      <w:lvlText w:val="•"/>
      <w:lvlJc w:val="left"/>
      <w:rPr>
        <w:rFonts w:hint="default"/>
      </w:rPr>
    </w:lvl>
    <w:lvl w:ilvl="7" w:tplc="42E6E6B0">
      <w:start w:val="1"/>
      <w:numFmt w:val="bullet"/>
      <w:lvlText w:val="•"/>
      <w:lvlJc w:val="left"/>
      <w:rPr>
        <w:rFonts w:hint="default"/>
      </w:rPr>
    </w:lvl>
    <w:lvl w:ilvl="8" w:tplc="8076CCD2">
      <w:start w:val="1"/>
      <w:numFmt w:val="bullet"/>
      <w:lvlText w:val="•"/>
      <w:lvlJc w:val="left"/>
      <w:rPr>
        <w:rFonts w:hint="default"/>
      </w:rPr>
    </w:lvl>
  </w:abstractNum>
  <w:abstractNum w:abstractNumId="2" w15:restartNumberingAfterBreak="0">
    <w:nsid w:val="0B6C56D8"/>
    <w:multiLevelType w:val="hybridMultilevel"/>
    <w:tmpl w:val="A97C7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36745"/>
    <w:multiLevelType w:val="hybridMultilevel"/>
    <w:tmpl w:val="154E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F6A5E"/>
    <w:multiLevelType w:val="hybridMultilevel"/>
    <w:tmpl w:val="F02C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3MjewNDO2NDAwMzNU0lEKTi0uzszPAykwrgUAIH8+wywAAAA="/>
  </w:docVars>
  <w:rsids>
    <w:rsidRoot w:val="000140F1"/>
    <w:rsid w:val="000140F1"/>
    <w:rsid w:val="00025A31"/>
    <w:rsid w:val="000D3D34"/>
    <w:rsid w:val="00116EEE"/>
    <w:rsid w:val="00163E29"/>
    <w:rsid w:val="001D6BD5"/>
    <w:rsid w:val="001E7B1C"/>
    <w:rsid w:val="0029622D"/>
    <w:rsid w:val="002F4CAE"/>
    <w:rsid w:val="003334F8"/>
    <w:rsid w:val="00415AE8"/>
    <w:rsid w:val="004303FC"/>
    <w:rsid w:val="00531A80"/>
    <w:rsid w:val="00574277"/>
    <w:rsid w:val="006B0655"/>
    <w:rsid w:val="006E5695"/>
    <w:rsid w:val="007359F6"/>
    <w:rsid w:val="00760B7D"/>
    <w:rsid w:val="007C796B"/>
    <w:rsid w:val="00824512"/>
    <w:rsid w:val="008A129C"/>
    <w:rsid w:val="008C18B9"/>
    <w:rsid w:val="008C7BBF"/>
    <w:rsid w:val="008F5DC7"/>
    <w:rsid w:val="00A3013D"/>
    <w:rsid w:val="00A4560A"/>
    <w:rsid w:val="00AA6751"/>
    <w:rsid w:val="00AE24DC"/>
    <w:rsid w:val="00B972E1"/>
    <w:rsid w:val="00C57E04"/>
    <w:rsid w:val="00DD6BA1"/>
    <w:rsid w:val="00E261A5"/>
    <w:rsid w:val="00E8082F"/>
    <w:rsid w:val="00E977B3"/>
    <w:rsid w:val="00F10AFC"/>
    <w:rsid w:val="00F5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107A8"/>
  <w15:docId w15:val="{C7CD5DFE-3EE9-462F-873A-1863F837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hanging="720"/>
    </w:pPr>
    <w:rPr>
      <w:rFonts w:ascii="Verdana" w:eastAsia="Verdana" w:hAnsi="Verdana"/>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4277"/>
    <w:pPr>
      <w:tabs>
        <w:tab w:val="center" w:pos="4680"/>
        <w:tab w:val="right" w:pos="9360"/>
      </w:tabs>
    </w:pPr>
  </w:style>
  <w:style w:type="character" w:customStyle="1" w:styleId="HeaderChar">
    <w:name w:val="Header Char"/>
    <w:basedOn w:val="DefaultParagraphFont"/>
    <w:link w:val="Header"/>
    <w:uiPriority w:val="99"/>
    <w:rsid w:val="00574277"/>
  </w:style>
  <w:style w:type="paragraph" w:styleId="Footer">
    <w:name w:val="footer"/>
    <w:basedOn w:val="Normal"/>
    <w:link w:val="FooterChar"/>
    <w:unhideWhenUsed/>
    <w:rsid w:val="00574277"/>
    <w:pPr>
      <w:tabs>
        <w:tab w:val="center" w:pos="4680"/>
        <w:tab w:val="right" w:pos="9360"/>
      </w:tabs>
    </w:pPr>
  </w:style>
  <w:style w:type="character" w:customStyle="1" w:styleId="FooterChar">
    <w:name w:val="Footer Char"/>
    <w:basedOn w:val="DefaultParagraphFont"/>
    <w:link w:val="Footer"/>
    <w:rsid w:val="00574277"/>
  </w:style>
  <w:style w:type="character" w:styleId="PageNumber">
    <w:name w:val="page number"/>
    <w:basedOn w:val="DefaultParagraphFont"/>
    <w:rsid w:val="00116EEE"/>
  </w:style>
  <w:style w:type="paragraph" w:styleId="BalloonText">
    <w:name w:val="Balloon Text"/>
    <w:basedOn w:val="Normal"/>
    <w:link w:val="BalloonTextChar"/>
    <w:uiPriority w:val="99"/>
    <w:semiHidden/>
    <w:unhideWhenUsed/>
    <w:rsid w:val="001E7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B1C"/>
    <w:rPr>
      <w:rFonts w:ascii="Segoe UI" w:hAnsi="Segoe UI" w:cs="Segoe UI"/>
      <w:sz w:val="18"/>
      <w:szCs w:val="18"/>
    </w:rPr>
  </w:style>
  <w:style w:type="table" w:styleId="TableGrid">
    <w:name w:val="Table Grid"/>
    <w:basedOn w:val="TableNormal"/>
    <w:uiPriority w:val="39"/>
    <w:rsid w:val="0016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0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47C74-9608-44F3-9302-F2C89AD9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Jensen</dc:creator>
  <cp:lastModifiedBy>Carlos Rivas</cp:lastModifiedBy>
  <cp:revision>2</cp:revision>
  <cp:lastPrinted>2019-09-20T23:00:00Z</cp:lastPrinted>
  <dcterms:created xsi:type="dcterms:W3CDTF">2019-11-08T18:45:00Z</dcterms:created>
  <dcterms:modified xsi:type="dcterms:W3CDTF">2019-11-08T18:45:00Z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2016-03-31T00:00:00Z</vt:filetime>
  </property>
  <property fmtid="{D5CDD505-2E9C-101B-9397-08002B2CF9AE}" pid="3" name="LastSaved">
    <vt:filetime>2016-06-30T00:00:00Z</vt:filetime>
  </property>
</Properties>
</file>